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31f1913af5f4f8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E35F7" w14:textId="77777777" w:rsidR="003D2D49" w:rsidRDefault="003D2D49" w:rsidP="007D3AAC">
      <w:pPr>
        <w:spacing w:before="120" w:after="120"/>
        <w:rPr>
          <w:rFonts w:ascii="Arial" w:hAnsi="Arial" w:cs="Arial"/>
          <w:b/>
          <w:sz w:val="28"/>
        </w:rPr>
      </w:pPr>
      <w:bookmarkStart w:id="0" w:name="_GoBack"/>
      <w:bookmarkEnd w:id="0"/>
    </w:p>
    <w:p w14:paraId="4AE53B0E" w14:textId="77777777" w:rsidR="007D3AAC" w:rsidRPr="007D3AAC" w:rsidRDefault="007D3AAC" w:rsidP="007D3AAC">
      <w:pPr>
        <w:spacing w:before="120" w:after="120"/>
        <w:rPr>
          <w:rFonts w:ascii="Arial" w:hAnsi="Arial" w:cs="Arial"/>
          <w:b/>
          <w:sz w:val="28"/>
        </w:rPr>
      </w:pPr>
      <w:r w:rsidRPr="007D3AAC">
        <w:rPr>
          <w:rFonts w:ascii="Arial" w:hAnsi="Arial" w:cs="Arial"/>
          <w:b/>
          <w:sz w:val="28"/>
        </w:rPr>
        <w:t>Workforce Board – report by Cllr Jim McMahon (Chair)</w:t>
      </w:r>
    </w:p>
    <w:p w14:paraId="4AE53B0F" w14:textId="77777777" w:rsidR="00B039D9" w:rsidRDefault="00B039D9" w:rsidP="00B039D9">
      <w:pPr>
        <w:spacing w:before="120"/>
        <w:jc w:val="both"/>
        <w:rPr>
          <w:rFonts w:ascii="Arial" w:eastAsia="Calibri" w:hAnsi="Arial" w:cs="Arial"/>
          <w:b/>
          <w:sz w:val="22"/>
          <w:szCs w:val="22"/>
        </w:rPr>
      </w:pPr>
    </w:p>
    <w:p w14:paraId="4AE53B10" w14:textId="77777777" w:rsidR="007D3AAC" w:rsidRPr="00372CF5" w:rsidRDefault="007D3AAC" w:rsidP="00B039D9">
      <w:pPr>
        <w:spacing w:before="120"/>
        <w:jc w:val="both"/>
        <w:rPr>
          <w:rFonts w:ascii="Arial" w:eastAsia="Calibri" w:hAnsi="Arial" w:cs="Arial"/>
          <w:b/>
          <w:sz w:val="22"/>
          <w:szCs w:val="22"/>
        </w:rPr>
      </w:pPr>
      <w:r w:rsidRPr="00372CF5">
        <w:rPr>
          <w:rFonts w:ascii="Arial" w:eastAsia="Calibri" w:hAnsi="Arial" w:cs="Arial"/>
          <w:b/>
          <w:sz w:val="22"/>
          <w:szCs w:val="22"/>
        </w:rPr>
        <w:t xml:space="preserve">Pensions </w:t>
      </w:r>
    </w:p>
    <w:p w14:paraId="4AE53B11" w14:textId="77777777" w:rsidR="00372CF5" w:rsidRPr="00372CF5" w:rsidRDefault="00372CF5" w:rsidP="00372CF5">
      <w:pPr>
        <w:spacing w:before="120"/>
        <w:contextualSpacing/>
        <w:jc w:val="both"/>
        <w:rPr>
          <w:rFonts w:ascii="Arial" w:hAnsi="Arial" w:cs="Arial"/>
          <w:sz w:val="22"/>
          <w:szCs w:val="22"/>
        </w:rPr>
      </w:pPr>
    </w:p>
    <w:p w14:paraId="4AE53B12" w14:textId="77777777" w:rsidR="00372CF5" w:rsidRPr="00372CF5" w:rsidRDefault="001068F6" w:rsidP="003D2D49">
      <w:pPr>
        <w:pStyle w:val="ListParagraph"/>
        <w:numPr>
          <w:ilvl w:val="0"/>
          <w:numId w:val="5"/>
        </w:numPr>
        <w:spacing w:before="120"/>
        <w:ind w:left="567" w:hanging="567"/>
        <w:jc w:val="both"/>
        <w:rPr>
          <w:rFonts w:ascii="Arial" w:hAnsi="Arial" w:cs="Arial"/>
          <w:sz w:val="22"/>
          <w:szCs w:val="22"/>
        </w:rPr>
      </w:pPr>
      <w:r>
        <w:rPr>
          <w:rFonts w:ascii="Arial" w:hAnsi="Arial" w:cs="Arial"/>
          <w:sz w:val="22"/>
          <w:szCs w:val="22"/>
        </w:rPr>
        <w:t xml:space="preserve">The </w:t>
      </w:r>
      <w:r w:rsidR="00372CF5" w:rsidRPr="00372CF5">
        <w:rPr>
          <w:rFonts w:ascii="Arial" w:hAnsi="Arial" w:cs="Arial"/>
          <w:sz w:val="22"/>
          <w:szCs w:val="22"/>
        </w:rPr>
        <w:t>LGA responded to HM Treasury’s consultation Freedom and Choice in Pensions supporting the restriction transfers from the LGPS to defined contribution schemes and continues to work on a response to DCLG’s consultation on structural reform: 'Local Government Pension Scheme: Opportunities for collaboration, cost savings and efficiencies'. A further consultation in draft governance regulations which will include the requirement for local pension boards is due very soon.</w:t>
      </w:r>
    </w:p>
    <w:p w14:paraId="4AE53B13" w14:textId="77777777" w:rsidR="007D3AAC" w:rsidRPr="007D3AAC" w:rsidRDefault="007D3AAC" w:rsidP="007D3AAC">
      <w:pPr>
        <w:autoSpaceDE w:val="0"/>
        <w:autoSpaceDN w:val="0"/>
        <w:ind w:left="927"/>
        <w:rPr>
          <w:rFonts w:ascii="Arial" w:eastAsia="Calibri" w:hAnsi="Arial" w:cs="Arial"/>
          <w:color w:val="000000"/>
          <w:sz w:val="22"/>
          <w:szCs w:val="22"/>
        </w:rPr>
      </w:pPr>
    </w:p>
    <w:p w14:paraId="4AE53B14" w14:textId="77777777" w:rsidR="00372CF5" w:rsidRPr="00372CF5" w:rsidRDefault="00372CF5" w:rsidP="00372CF5">
      <w:pPr>
        <w:rPr>
          <w:rFonts w:cs="Arial"/>
          <w:b/>
          <w:bCs/>
          <w:color w:val="000000"/>
          <w:sz w:val="22"/>
          <w:szCs w:val="22"/>
        </w:rPr>
      </w:pPr>
      <w:r w:rsidRPr="00372CF5">
        <w:rPr>
          <w:rFonts w:ascii="Arial" w:hAnsi="Arial" w:cs="Arial"/>
          <w:b/>
          <w:bCs/>
          <w:color w:val="000000"/>
          <w:sz w:val="22"/>
          <w:szCs w:val="22"/>
        </w:rPr>
        <w:t>Local Government Services Pay 2014</w:t>
      </w:r>
    </w:p>
    <w:p w14:paraId="4AE53B15" w14:textId="77777777" w:rsidR="00372CF5" w:rsidRPr="000C1B2D" w:rsidRDefault="00372CF5" w:rsidP="00372CF5">
      <w:pPr>
        <w:rPr>
          <w:rFonts w:ascii="Arial" w:hAnsi="Arial" w:cs="Arial"/>
          <w:b/>
          <w:bCs/>
          <w:color w:val="000000"/>
          <w:sz w:val="22"/>
          <w:szCs w:val="22"/>
        </w:rPr>
      </w:pPr>
    </w:p>
    <w:p w14:paraId="4AE53B16" w14:textId="77777777" w:rsidR="00372CF5" w:rsidRPr="00372CF5" w:rsidRDefault="00372CF5" w:rsidP="003D2D49">
      <w:pPr>
        <w:pStyle w:val="ListParagraph"/>
        <w:numPr>
          <w:ilvl w:val="0"/>
          <w:numId w:val="5"/>
        </w:numPr>
        <w:ind w:left="567" w:hanging="567"/>
        <w:rPr>
          <w:rFonts w:ascii="Arial" w:hAnsi="Arial" w:cs="Arial"/>
          <w:color w:val="000000"/>
          <w:sz w:val="22"/>
          <w:szCs w:val="22"/>
        </w:rPr>
      </w:pPr>
      <w:r w:rsidRPr="00372CF5">
        <w:rPr>
          <w:rFonts w:ascii="Arial" w:hAnsi="Arial" w:cs="Arial"/>
          <w:color w:val="000000"/>
          <w:sz w:val="22"/>
          <w:szCs w:val="22"/>
        </w:rPr>
        <w:t>UNISON announced on 23 June the results of its ballot for strike action following their rejection of the Employers’ full and final pay offer. The results are:</w:t>
      </w:r>
    </w:p>
    <w:p w14:paraId="4AE53B17" w14:textId="77777777" w:rsidR="00372CF5" w:rsidRPr="000C1B2D" w:rsidRDefault="00372CF5" w:rsidP="00372CF5">
      <w:pPr>
        <w:rPr>
          <w:rFonts w:ascii="Arial" w:hAnsi="Arial" w:cs="Arial"/>
          <w:color w:val="000000"/>
          <w:sz w:val="22"/>
          <w:szCs w:val="22"/>
        </w:rPr>
      </w:pPr>
    </w:p>
    <w:p w14:paraId="4AE53B18" w14:textId="77777777" w:rsidR="00372CF5" w:rsidRPr="00306941" w:rsidRDefault="00372CF5" w:rsidP="003D2D49">
      <w:pPr>
        <w:pStyle w:val="NormalWeb"/>
        <w:numPr>
          <w:ilvl w:val="0"/>
          <w:numId w:val="5"/>
        </w:numPr>
        <w:shd w:val="clear" w:color="auto" w:fill="FFFFFF"/>
        <w:spacing w:before="0" w:beforeAutospacing="0" w:after="270" w:line="240" w:lineRule="auto"/>
        <w:ind w:left="567" w:hanging="567"/>
        <w:textAlignment w:val="baseline"/>
        <w:rPr>
          <w:rFonts w:ascii="Arial" w:hAnsi="Arial" w:cs="Arial"/>
          <w:sz w:val="22"/>
          <w:szCs w:val="22"/>
        </w:rPr>
      </w:pPr>
      <w:r w:rsidRPr="00306941">
        <w:rPr>
          <w:rFonts w:ascii="Arial" w:hAnsi="Arial" w:cs="Arial"/>
          <w:sz w:val="22"/>
          <w:szCs w:val="22"/>
        </w:rPr>
        <w:t>Total number of votes cast in the ballot: 85,020 (14.1%)</w:t>
      </w:r>
      <w:r w:rsidRPr="00306941">
        <w:rPr>
          <w:rFonts w:ascii="Arial" w:hAnsi="Arial" w:cs="Arial"/>
          <w:sz w:val="22"/>
          <w:szCs w:val="22"/>
        </w:rPr>
        <w:br/>
        <w:t xml:space="preserve">Total number </w:t>
      </w:r>
      <w:r w:rsidRPr="00306941">
        <w:rPr>
          <w:rFonts w:ascii="Arial" w:hAnsi="Arial" w:cs="Arial"/>
          <w:b/>
          <w:bCs/>
          <w:sz w:val="22"/>
          <w:szCs w:val="22"/>
        </w:rPr>
        <w:t xml:space="preserve">in favour </w:t>
      </w:r>
      <w:r w:rsidRPr="00306941">
        <w:rPr>
          <w:rFonts w:ascii="Arial" w:hAnsi="Arial" w:cs="Arial"/>
          <w:sz w:val="22"/>
          <w:szCs w:val="22"/>
        </w:rPr>
        <w:t>of strike action: 49,836 (58.7%)</w:t>
      </w:r>
      <w:r w:rsidRPr="00306941">
        <w:rPr>
          <w:rFonts w:ascii="Arial" w:hAnsi="Arial" w:cs="Arial"/>
          <w:sz w:val="22"/>
          <w:szCs w:val="22"/>
        </w:rPr>
        <w:br/>
        <w:t xml:space="preserve">Total number </w:t>
      </w:r>
      <w:r w:rsidRPr="00306941">
        <w:rPr>
          <w:rFonts w:ascii="Arial" w:hAnsi="Arial" w:cs="Arial"/>
          <w:b/>
          <w:bCs/>
          <w:sz w:val="22"/>
          <w:szCs w:val="22"/>
        </w:rPr>
        <w:t>against</w:t>
      </w:r>
      <w:r w:rsidRPr="00306941">
        <w:rPr>
          <w:rFonts w:ascii="Arial" w:hAnsi="Arial" w:cs="Arial"/>
          <w:sz w:val="22"/>
          <w:szCs w:val="22"/>
        </w:rPr>
        <w:t xml:space="preserve"> strike action: 35,062 (41.3%)</w:t>
      </w:r>
      <w:r w:rsidRPr="00306941">
        <w:rPr>
          <w:rFonts w:ascii="Arial" w:hAnsi="Arial" w:cs="Arial"/>
          <w:sz w:val="22"/>
          <w:szCs w:val="22"/>
        </w:rPr>
        <w:br/>
        <w:t>Total number of spoiled voting papers: 122</w:t>
      </w:r>
    </w:p>
    <w:p w14:paraId="2784385A" w14:textId="77777777" w:rsidR="003D2D49" w:rsidRPr="003D2D49" w:rsidRDefault="00372CF5" w:rsidP="003D2D49">
      <w:pPr>
        <w:pStyle w:val="NormalWeb"/>
        <w:numPr>
          <w:ilvl w:val="0"/>
          <w:numId w:val="5"/>
        </w:numPr>
        <w:shd w:val="clear" w:color="auto" w:fill="FFFFFF"/>
        <w:spacing w:before="0" w:beforeAutospacing="0" w:after="270"/>
        <w:ind w:left="567" w:hanging="567"/>
        <w:textAlignment w:val="baseline"/>
        <w:rPr>
          <w:rFonts w:ascii="Arial" w:hAnsi="Arial" w:cs="Arial"/>
          <w:color w:val="000000"/>
          <w:sz w:val="22"/>
          <w:szCs w:val="22"/>
        </w:rPr>
      </w:pPr>
      <w:r w:rsidRPr="003D2D49">
        <w:rPr>
          <w:rFonts w:ascii="Arial" w:hAnsi="Arial" w:cs="Arial"/>
          <w:sz w:val="22"/>
          <w:szCs w:val="22"/>
        </w:rPr>
        <w:t xml:space="preserve">UNISON has </w:t>
      </w:r>
      <w:r w:rsidR="006440A4" w:rsidRPr="003D2D49">
        <w:rPr>
          <w:rFonts w:ascii="Arial" w:hAnsi="Arial" w:cs="Arial"/>
          <w:sz w:val="22"/>
          <w:szCs w:val="22"/>
        </w:rPr>
        <w:t>confirmed that its members will be</w:t>
      </w:r>
      <w:r w:rsidR="00BA6A8F" w:rsidRPr="003D2D49">
        <w:rPr>
          <w:rFonts w:ascii="Arial" w:hAnsi="Arial" w:cs="Arial"/>
          <w:sz w:val="22"/>
          <w:szCs w:val="22"/>
        </w:rPr>
        <w:t xml:space="preserve"> taking industrial action on</w:t>
      </w:r>
      <w:r w:rsidR="006440A4" w:rsidRPr="003D2D49">
        <w:rPr>
          <w:rFonts w:ascii="Arial" w:hAnsi="Arial" w:cs="Arial"/>
          <w:sz w:val="22"/>
          <w:szCs w:val="22"/>
        </w:rPr>
        <w:t xml:space="preserve"> 10 July 2014.</w:t>
      </w:r>
    </w:p>
    <w:p w14:paraId="4AE53B1B" w14:textId="4B3C765B" w:rsidR="007D3AAC" w:rsidRPr="003D2D49" w:rsidRDefault="00372CF5" w:rsidP="003D2D49">
      <w:pPr>
        <w:pStyle w:val="NormalWeb"/>
        <w:numPr>
          <w:ilvl w:val="0"/>
          <w:numId w:val="5"/>
        </w:numPr>
        <w:shd w:val="clear" w:color="auto" w:fill="FFFFFF"/>
        <w:autoSpaceDE w:val="0"/>
        <w:autoSpaceDN w:val="0"/>
        <w:spacing w:before="0" w:beforeAutospacing="0" w:after="270"/>
        <w:ind w:left="567" w:hanging="567"/>
        <w:textAlignment w:val="baseline"/>
        <w:rPr>
          <w:rFonts w:ascii="Arial" w:eastAsia="Calibri" w:hAnsi="Arial" w:cs="Arial"/>
          <w:color w:val="000000"/>
          <w:sz w:val="22"/>
          <w:szCs w:val="22"/>
        </w:rPr>
      </w:pPr>
      <w:r w:rsidRPr="003D2D49">
        <w:rPr>
          <w:rFonts w:ascii="Arial" w:hAnsi="Arial" w:cs="Arial"/>
          <w:color w:val="000000"/>
          <w:sz w:val="22"/>
          <w:szCs w:val="22"/>
        </w:rPr>
        <w:t xml:space="preserve">The results of GMB’s and </w:t>
      </w:r>
      <w:proofErr w:type="spellStart"/>
      <w:r w:rsidRPr="003D2D49">
        <w:rPr>
          <w:rFonts w:ascii="Arial" w:hAnsi="Arial" w:cs="Arial"/>
          <w:color w:val="000000"/>
          <w:sz w:val="22"/>
          <w:szCs w:val="22"/>
        </w:rPr>
        <w:t>Unite’s</w:t>
      </w:r>
      <w:proofErr w:type="spellEnd"/>
      <w:r w:rsidRPr="003D2D49">
        <w:rPr>
          <w:rFonts w:ascii="Arial" w:hAnsi="Arial" w:cs="Arial"/>
          <w:color w:val="000000"/>
          <w:sz w:val="22"/>
          <w:szCs w:val="22"/>
        </w:rPr>
        <w:t xml:space="preserve"> strike ballots are due to be announced on 1 July</w:t>
      </w:r>
      <w:r w:rsidR="00BA6A8F" w:rsidRPr="003D2D49">
        <w:rPr>
          <w:rFonts w:ascii="Arial" w:hAnsi="Arial" w:cs="Arial"/>
          <w:color w:val="000000"/>
          <w:sz w:val="22"/>
          <w:szCs w:val="22"/>
        </w:rPr>
        <w:t xml:space="preserve"> 2014</w:t>
      </w:r>
      <w:r w:rsidRPr="003D2D49">
        <w:rPr>
          <w:rFonts w:ascii="Arial" w:hAnsi="Arial" w:cs="Arial"/>
          <w:color w:val="000000"/>
          <w:sz w:val="22"/>
          <w:szCs w:val="22"/>
        </w:rPr>
        <w:t xml:space="preserve">. </w:t>
      </w:r>
    </w:p>
    <w:p w14:paraId="4AE53B1C" w14:textId="77777777" w:rsidR="007D3AAC" w:rsidRPr="00372CF5" w:rsidRDefault="007D3AAC" w:rsidP="00372CF5">
      <w:pPr>
        <w:tabs>
          <w:tab w:val="left" w:pos="567"/>
        </w:tabs>
        <w:jc w:val="both"/>
        <w:rPr>
          <w:rFonts w:ascii="Arial" w:eastAsia="Calibri" w:hAnsi="Arial" w:cs="Arial"/>
          <w:b/>
          <w:sz w:val="22"/>
          <w:szCs w:val="22"/>
        </w:rPr>
      </w:pPr>
      <w:r w:rsidRPr="00372CF5">
        <w:rPr>
          <w:rFonts w:ascii="Arial" w:eastAsia="Calibri" w:hAnsi="Arial" w:cs="Arial"/>
          <w:b/>
          <w:sz w:val="22"/>
          <w:szCs w:val="22"/>
        </w:rPr>
        <w:t>School Teachers</w:t>
      </w:r>
    </w:p>
    <w:p w14:paraId="4AE53B1D" w14:textId="77777777" w:rsidR="007D3AAC" w:rsidRPr="007D3AAC" w:rsidRDefault="007D3AAC" w:rsidP="007D3AAC">
      <w:pPr>
        <w:autoSpaceDE w:val="0"/>
        <w:autoSpaceDN w:val="0"/>
        <w:ind w:left="927"/>
        <w:rPr>
          <w:rFonts w:ascii="Arial" w:eastAsia="Calibri" w:hAnsi="Arial" w:cs="Arial"/>
          <w:color w:val="000000"/>
          <w:sz w:val="22"/>
          <w:szCs w:val="22"/>
        </w:rPr>
      </w:pPr>
    </w:p>
    <w:p w14:paraId="4AE53B1E" w14:textId="77777777" w:rsidR="007D3AAC" w:rsidRPr="00B039D9" w:rsidRDefault="007D3AAC" w:rsidP="003D2D49">
      <w:pPr>
        <w:pStyle w:val="ListParagraph"/>
        <w:numPr>
          <w:ilvl w:val="0"/>
          <w:numId w:val="5"/>
        </w:numPr>
        <w:ind w:left="567" w:hanging="567"/>
        <w:rPr>
          <w:rFonts w:ascii="Arial" w:hAnsi="Arial" w:cs="Arial"/>
          <w:color w:val="000000"/>
          <w:sz w:val="22"/>
          <w:szCs w:val="22"/>
        </w:rPr>
      </w:pPr>
      <w:r w:rsidRPr="00B039D9">
        <w:rPr>
          <w:rFonts w:ascii="Arial" w:hAnsi="Arial" w:cs="Arial"/>
          <w:color w:val="000000"/>
          <w:sz w:val="22"/>
          <w:szCs w:val="22"/>
        </w:rPr>
        <w:t xml:space="preserve">The School Teachers’ Review Body has recommended </w:t>
      </w:r>
      <w:proofErr w:type="gramStart"/>
      <w:r w:rsidRPr="00B039D9">
        <w:rPr>
          <w:rFonts w:ascii="Arial" w:hAnsi="Arial" w:cs="Arial"/>
          <w:color w:val="000000"/>
          <w:sz w:val="22"/>
          <w:szCs w:val="22"/>
        </w:rPr>
        <w:t>a 1</w:t>
      </w:r>
      <w:proofErr w:type="gramEnd"/>
      <w:r w:rsidRPr="00B039D9">
        <w:rPr>
          <w:rFonts w:ascii="Arial" w:hAnsi="Arial" w:cs="Arial"/>
          <w:color w:val="000000"/>
          <w:sz w:val="22"/>
          <w:szCs w:val="22"/>
        </w:rPr>
        <w:t>% uplift to the minima and maxima of all the pay ranges and allowances in the national pay framework. This is the first year that the recommendation on the award has not specified a nationally determined uplift to all salaries and allowances in payment, rather leaving schools to determine the extent of any uplift between the minima and maxima of the ranges. NEOST will respond to the consultation currently underway.</w:t>
      </w:r>
    </w:p>
    <w:p w14:paraId="4AE53B1F" w14:textId="77777777" w:rsidR="00B039D9" w:rsidRPr="00B039D9" w:rsidRDefault="00B039D9" w:rsidP="007D3AAC">
      <w:pPr>
        <w:rPr>
          <w:rFonts w:ascii="Arial" w:eastAsia="Calibri" w:hAnsi="Arial" w:cs="Arial"/>
          <w:b/>
          <w:sz w:val="22"/>
          <w:szCs w:val="22"/>
        </w:rPr>
      </w:pPr>
    </w:p>
    <w:p w14:paraId="4AE53B20" w14:textId="77777777" w:rsidR="007D3AAC" w:rsidRPr="00372CF5" w:rsidRDefault="007D3AAC" w:rsidP="00372CF5">
      <w:pPr>
        <w:rPr>
          <w:rFonts w:ascii="Arial" w:eastAsia="Calibri" w:hAnsi="Arial" w:cs="Arial"/>
          <w:b/>
          <w:sz w:val="22"/>
          <w:szCs w:val="22"/>
        </w:rPr>
      </w:pPr>
      <w:r w:rsidRPr="00372CF5">
        <w:rPr>
          <w:rFonts w:ascii="Arial" w:eastAsia="Calibri" w:hAnsi="Arial" w:cs="Arial"/>
          <w:b/>
          <w:sz w:val="22"/>
          <w:szCs w:val="22"/>
        </w:rPr>
        <w:t xml:space="preserve">Fire </w:t>
      </w:r>
    </w:p>
    <w:p w14:paraId="4AE53B21" w14:textId="77777777" w:rsidR="007D3AAC" w:rsidRPr="00B039D9" w:rsidRDefault="007D3AAC" w:rsidP="007D3AAC">
      <w:pPr>
        <w:rPr>
          <w:rFonts w:ascii="Arial" w:eastAsia="Calibri" w:hAnsi="Arial" w:cs="Arial"/>
          <w:b/>
          <w:sz w:val="22"/>
          <w:szCs w:val="22"/>
        </w:rPr>
      </w:pPr>
    </w:p>
    <w:p w14:paraId="4AE53B22" w14:textId="77777777" w:rsidR="007D3AAC" w:rsidRPr="00B039D9" w:rsidRDefault="007D3AAC" w:rsidP="003D2D49">
      <w:pPr>
        <w:pStyle w:val="ListParagraph"/>
        <w:numPr>
          <w:ilvl w:val="0"/>
          <w:numId w:val="5"/>
        </w:numPr>
        <w:ind w:left="567" w:hanging="567"/>
        <w:rPr>
          <w:rFonts w:ascii="Arial" w:hAnsi="Arial" w:cs="Arial"/>
          <w:color w:val="000000"/>
          <w:sz w:val="22"/>
          <w:szCs w:val="22"/>
        </w:rPr>
      </w:pPr>
      <w:r w:rsidRPr="00B039D9">
        <w:rPr>
          <w:rFonts w:ascii="Arial" w:hAnsi="Arial" w:cs="Arial"/>
          <w:color w:val="000000"/>
          <w:sz w:val="22"/>
          <w:szCs w:val="22"/>
        </w:rPr>
        <w:t xml:space="preserve">Following receipt of a claim, employer members of the fire service negotiating body that covers employees from firefighter to middle manager levels decided to offer an across the board pay increase of 1.0%. </w:t>
      </w:r>
    </w:p>
    <w:p w14:paraId="4AE53B23" w14:textId="77777777" w:rsidR="007D3AAC" w:rsidRPr="00B039D9" w:rsidRDefault="007D3AAC" w:rsidP="007D3AAC">
      <w:pPr>
        <w:rPr>
          <w:rFonts w:ascii="Arial" w:hAnsi="Arial" w:cs="Arial"/>
          <w:color w:val="000000"/>
          <w:sz w:val="22"/>
          <w:szCs w:val="22"/>
        </w:rPr>
      </w:pPr>
    </w:p>
    <w:p w14:paraId="4AE53B24" w14:textId="77777777" w:rsidR="007D3AAC" w:rsidRPr="001068F6" w:rsidRDefault="007D3AAC" w:rsidP="003D2D49">
      <w:pPr>
        <w:pStyle w:val="ListParagraph"/>
        <w:numPr>
          <w:ilvl w:val="0"/>
          <w:numId w:val="5"/>
        </w:numPr>
        <w:ind w:left="567" w:hanging="567"/>
        <w:rPr>
          <w:rFonts w:ascii="Arial" w:hAnsi="Arial" w:cs="Arial"/>
          <w:color w:val="000000"/>
          <w:sz w:val="22"/>
          <w:szCs w:val="22"/>
        </w:rPr>
      </w:pPr>
      <w:r w:rsidRPr="001068F6">
        <w:rPr>
          <w:rFonts w:ascii="Arial" w:hAnsi="Arial" w:cs="Arial"/>
          <w:color w:val="000000"/>
          <w:sz w:val="22"/>
          <w:szCs w:val="22"/>
        </w:rPr>
        <w:t>In response, the Fire Brigades Union and the Fire Officers Association have indicated that they will each now consu</w:t>
      </w:r>
      <w:r w:rsidR="00372CF5" w:rsidRPr="001068F6">
        <w:rPr>
          <w:rFonts w:ascii="Arial" w:hAnsi="Arial" w:cs="Arial"/>
          <w:color w:val="000000"/>
          <w:sz w:val="22"/>
          <w:szCs w:val="22"/>
        </w:rPr>
        <w:t>lt their respective members.   </w:t>
      </w:r>
    </w:p>
    <w:p w14:paraId="4AE53B25" w14:textId="77777777" w:rsidR="001068F6" w:rsidRPr="001068F6" w:rsidRDefault="001068F6" w:rsidP="001068F6">
      <w:pPr>
        <w:pStyle w:val="ListParagraph"/>
        <w:rPr>
          <w:rFonts w:ascii="Arial" w:hAnsi="Arial" w:cs="Arial"/>
          <w:color w:val="000000"/>
          <w:sz w:val="22"/>
          <w:szCs w:val="22"/>
        </w:rPr>
      </w:pPr>
    </w:p>
    <w:p w14:paraId="699558CC" w14:textId="77777777" w:rsidR="003D2D49" w:rsidRDefault="003D2D49" w:rsidP="001068F6">
      <w:pPr>
        <w:rPr>
          <w:rFonts w:ascii="Arial" w:hAnsi="Arial" w:cs="Arial"/>
          <w:b/>
          <w:bCs/>
          <w:color w:val="000000"/>
          <w:sz w:val="22"/>
          <w:szCs w:val="22"/>
        </w:rPr>
      </w:pPr>
    </w:p>
    <w:p w14:paraId="217C7EDA" w14:textId="77777777" w:rsidR="003D2D49" w:rsidRDefault="003D2D49" w:rsidP="001068F6">
      <w:pPr>
        <w:rPr>
          <w:rFonts w:ascii="Arial" w:hAnsi="Arial" w:cs="Arial"/>
          <w:b/>
          <w:bCs/>
          <w:color w:val="000000"/>
          <w:sz w:val="22"/>
          <w:szCs w:val="22"/>
        </w:rPr>
      </w:pPr>
    </w:p>
    <w:p w14:paraId="401B2486" w14:textId="77777777" w:rsidR="003D2D49" w:rsidRDefault="003D2D49" w:rsidP="001068F6">
      <w:pPr>
        <w:rPr>
          <w:rFonts w:ascii="Arial" w:hAnsi="Arial" w:cs="Arial"/>
          <w:b/>
          <w:bCs/>
          <w:color w:val="000000"/>
          <w:sz w:val="22"/>
          <w:szCs w:val="22"/>
        </w:rPr>
      </w:pPr>
    </w:p>
    <w:p w14:paraId="4AE53B26" w14:textId="77777777" w:rsidR="001068F6" w:rsidRDefault="001068F6" w:rsidP="001068F6">
      <w:pPr>
        <w:rPr>
          <w:rFonts w:ascii="Arial" w:hAnsi="Arial" w:cs="Arial"/>
          <w:b/>
          <w:bCs/>
          <w:color w:val="000000"/>
          <w:sz w:val="22"/>
          <w:szCs w:val="22"/>
        </w:rPr>
      </w:pPr>
      <w:r w:rsidRPr="001068F6">
        <w:rPr>
          <w:rFonts w:ascii="Arial" w:hAnsi="Arial" w:cs="Arial"/>
          <w:b/>
          <w:bCs/>
          <w:color w:val="000000"/>
          <w:sz w:val="22"/>
          <w:szCs w:val="22"/>
        </w:rPr>
        <w:t>Single Fraud Investigation Service (SFIS)</w:t>
      </w:r>
    </w:p>
    <w:p w14:paraId="4AE53B27" w14:textId="77777777" w:rsidR="001068F6" w:rsidRPr="001068F6" w:rsidRDefault="001068F6" w:rsidP="001068F6">
      <w:pPr>
        <w:rPr>
          <w:rFonts w:ascii="Arial" w:hAnsi="Arial" w:cs="Arial"/>
          <w:b/>
          <w:bCs/>
          <w:color w:val="000000"/>
          <w:sz w:val="22"/>
          <w:szCs w:val="22"/>
        </w:rPr>
      </w:pPr>
    </w:p>
    <w:p w14:paraId="4AE53B28" w14:textId="77777777" w:rsidR="001068F6" w:rsidRPr="001068F6" w:rsidRDefault="001068F6" w:rsidP="003D2D49">
      <w:pPr>
        <w:pStyle w:val="ListParagraph"/>
        <w:numPr>
          <w:ilvl w:val="0"/>
          <w:numId w:val="5"/>
        </w:numPr>
        <w:ind w:left="567" w:hanging="567"/>
        <w:rPr>
          <w:rFonts w:ascii="Arial" w:hAnsi="Arial" w:cs="Arial"/>
          <w:color w:val="000000"/>
          <w:sz w:val="22"/>
          <w:szCs w:val="22"/>
        </w:rPr>
      </w:pPr>
      <w:r w:rsidRPr="001068F6">
        <w:rPr>
          <w:rFonts w:ascii="Arial" w:hAnsi="Arial" w:cs="Arial"/>
          <w:color w:val="000000"/>
          <w:sz w:val="22"/>
          <w:szCs w:val="22"/>
        </w:rPr>
        <w:t xml:space="preserve">The build-up to the transfer of benefit fraud and investigation services and staff to the new SFIS service continues apace with phase 1 authorities due to go live in July. The workforce team is now heavily involved in discussions with Department of Work and Pensions, the trade unions and other national partners about key HR issues. The main aim is to ensure that local government </w:t>
      </w:r>
      <w:proofErr w:type="gramStart"/>
      <w:r w:rsidRPr="001068F6">
        <w:rPr>
          <w:rFonts w:ascii="Arial" w:hAnsi="Arial" w:cs="Arial"/>
          <w:color w:val="000000"/>
          <w:sz w:val="22"/>
          <w:szCs w:val="22"/>
        </w:rPr>
        <w:t>staff transferring out receive</w:t>
      </w:r>
      <w:proofErr w:type="gramEnd"/>
      <w:r w:rsidRPr="001068F6">
        <w:rPr>
          <w:rFonts w:ascii="Arial" w:hAnsi="Arial" w:cs="Arial"/>
          <w:color w:val="000000"/>
          <w:sz w:val="22"/>
          <w:szCs w:val="22"/>
        </w:rPr>
        <w:t xml:space="preserve"> similar protections and treatment to staff transferring in, like the recent public health transfer. The team provides updates when necessary to councils. Recent detailed discussions have centred on the process for selecting staff in scope for transfer and the “measures” which DWP proposes to vary non-contractual terms and conditions and emulate other aspects of existing staff contracts.</w:t>
      </w:r>
    </w:p>
    <w:p w14:paraId="4AE53B29" w14:textId="77777777" w:rsidR="001068F6" w:rsidRDefault="001068F6" w:rsidP="001068F6">
      <w:pPr>
        <w:rPr>
          <w:rFonts w:ascii="Arial" w:hAnsi="Arial" w:cs="Arial"/>
          <w:color w:val="000000"/>
          <w:sz w:val="22"/>
          <w:szCs w:val="22"/>
        </w:rPr>
      </w:pPr>
    </w:p>
    <w:p w14:paraId="4AE53B2A" w14:textId="77777777" w:rsidR="001068F6" w:rsidRPr="001068F6" w:rsidRDefault="001068F6" w:rsidP="001068F6">
      <w:pPr>
        <w:rPr>
          <w:rFonts w:ascii="Arial" w:hAnsi="Arial" w:cs="Arial"/>
          <w:b/>
          <w:bCs/>
          <w:sz w:val="22"/>
          <w:szCs w:val="22"/>
        </w:rPr>
      </w:pPr>
      <w:r w:rsidRPr="001068F6">
        <w:rPr>
          <w:rFonts w:ascii="Arial" w:hAnsi="Arial" w:cs="Arial"/>
          <w:b/>
          <w:bCs/>
          <w:sz w:val="22"/>
          <w:szCs w:val="22"/>
        </w:rPr>
        <w:t xml:space="preserve">Universal Credit: update on staff transfer </w:t>
      </w:r>
    </w:p>
    <w:p w14:paraId="4AE53B2B" w14:textId="77777777" w:rsidR="001068F6" w:rsidRPr="001068F6" w:rsidRDefault="001068F6" w:rsidP="001068F6">
      <w:pPr>
        <w:rPr>
          <w:rFonts w:ascii="Arial" w:hAnsi="Arial" w:cs="Arial"/>
          <w:b/>
          <w:bCs/>
          <w:sz w:val="22"/>
          <w:szCs w:val="22"/>
        </w:rPr>
      </w:pPr>
    </w:p>
    <w:p w14:paraId="4AE53B2C" w14:textId="77777777" w:rsidR="001068F6" w:rsidRDefault="001068F6" w:rsidP="003D2D49">
      <w:pPr>
        <w:pStyle w:val="ListParagraph"/>
        <w:numPr>
          <w:ilvl w:val="0"/>
          <w:numId w:val="5"/>
        </w:numPr>
        <w:ind w:left="567" w:hanging="567"/>
        <w:rPr>
          <w:rFonts w:ascii="Arial" w:hAnsi="Arial" w:cs="Arial"/>
          <w:sz w:val="22"/>
          <w:szCs w:val="22"/>
        </w:rPr>
      </w:pPr>
      <w:r w:rsidRPr="001068F6">
        <w:rPr>
          <w:rFonts w:ascii="Arial" w:hAnsi="Arial" w:cs="Arial"/>
          <w:sz w:val="22"/>
          <w:szCs w:val="22"/>
        </w:rPr>
        <w:t>The DWP have confirmed to the LGA that they have not yet made a formal decision on whether TUPE will apply to the transfer of council benefit staff to the DWP on the implementation of Universal Credit. However, they will be reviewing options for staff transfers following their review of the North West pilots. The results of the review are expected late summer, and the DWP have committed to engaging with the LGA and other key stakeholders before reaching any decisions on staff transfer. The LGA’s position on behalf of councils in that process will be that staff should transfer on a TUPE/TUPE-like basis, with appropriate protections in place for councils and their staff.</w:t>
      </w:r>
    </w:p>
    <w:p w14:paraId="6C54EC6A" w14:textId="77777777" w:rsidR="003D2D49" w:rsidRPr="001068F6" w:rsidRDefault="003D2D49" w:rsidP="003D2D49">
      <w:pPr>
        <w:pStyle w:val="ListParagraph"/>
        <w:ind w:left="567"/>
        <w:rPr>
          <w:rFonts w:ascii="Arial" w:hAnsi="Arial" w:cs="Arial"/>
          <w:sz w:val="22"/>
          <w:szCs w:val="22"/>
        </w:rPr>
      </w:pPr>
    </w:p>
    <w:p w14:paraId="4AE53B2D" w14:textId="77777777" w:rsidR="001068F6" w:rsidRPr="001068F6" w:rsidRDefault="001068F6" w:rsidP="001068F6">
      <w:pPr>
        <w:rPr>
          <w:rFonts w:ascii="Arial" w:hAnsi="Arial" w:cs="Arial"/>
          <w:color w:val="000000"/>
          <w:sz w:val="22"/>
          <w:szCs w:val="22"/>
        </w:rPr>
      </w:pPr>
    </w:p>
    <w:p w14:paraId="4AE53B2E" w14:textId="77777777" w:rsidR="007D3AAC" w:rsidRPr="007D3AAC" w:rsidRDefault="007D3AAC" w:rsidP="007D3AAC">
      <w:pPr>
        <w:shd w:val="clear" w:color="auto" w:fill="FFFFFF"/>
        <w:ind w:left="567" w:hanging="567"/>
        <w:jc w:val="both"/>
        <w:rPr>
          <w:rFonts w:ascii="Arial" w:hAnsi="Arial" w:cs="Arial"/>
          <w:sz w:val="22"/>
          <w:szCs w:val="22"/>
        </w:rPr>
      </w:pPr>
    </w:p>
    <w:tbl>
      <w:tblPr>
        <w:tblW w:w="0" w:type="auto"/>
        <w:tblLook w:val="01E0" w:firstRow="1" w:lastRow="1" w:firstColumn="1" w:lastColumn="1" w:noHBand="0" w:noVBand="0"/>
      </w:tblPr>
      <w:tblGrid>
        <w:gridCol w:w="2802"/>
        <w:gridCol w:w="6378"/>
      </w:tblGrid>
      <w:tr w:rsidR="007D3AAC" w:rsidRPr="007D3AAC" w14:paraId="4AE53B31" w14:textId="77777777" w:rsidTr="00CC0D78">
        <w:tc>
          <w:tcPr>
            <w:tcW w:w="2802" w:type="dxa"/>
          </w:tcPr>
          <w:p w14:paraId="4AE53B2F" w14:textId="77777777" w:rsidR="007D3AAC" w:rsidRPr="007D3AAC" w:rsidRDefault="007D3AAC" w:rsidP="003D2D49">
            <w:pPr>
              <w:spacing w:line="280" w:lineRule="exact"/>
              <w:ind w:left="567"/>
              <w:jc w:val="both"/>
              <w:rPr>
                <w:rFonts w:ascii="Arial" w:hAnsi="Arial" w:cs="Arial"/>
                <w:sz w:val="22"/>
                <w:szCs w:val="22"/>
              </w:rPr>
            </w:pPr>
            <w:r w:rsidRPr="007D3AAC">
              <w:rPr>
                <w:rFonts w:ascii="Arial" w:hAnsi="Arial" w:cs="Arial"/>
                <w:sz w:val="22"/>
                <w:szCs w:val="22"/>
              </w:rPr>
              <w:t xml:space="preserve">Contact officer:  </w:t>
            </w:r>
          </w:p>
        </w:tc>
        <w:tc>
          <w:tcPr>
            <w:tcW w:w="6378" w:type="dxa"/>
          </w:tcPr>
          <w:p w14:paraId="4AE53B30" w14:textId="77777777" w:rsidR="007D3AAC" w:rsidRPr="007D3AAC" w:rsidRDefault="007D3AAC" w:rsidP="003D2D49">
            <w:pPr>
              <w:spacing w:line="280" w:lineRule="exact"/>
              <w:ind w:left="567"/>
              <w:jc w:val="both"/>
              <w:rPr>
                <w:rFonts w:ascii="Arial" w:hAnsi="Arial" w:cs="Arial"/>
                <w:sz w:val="22"/>
                <w:szCs w:val="22"/>
              </w:rPr>
            </w:pPr>
            <w:r w:rsidRPr="007D3AAC">
              <w:rPr>
                <w:rFonts w:ascii="Arial" w:hAnsi="Arial" w:cs="Arial"/>
                <w:sz w:val="22"/>
                <w:szCs w:val="22"/>
              </w:rPr>
              <w:t xml:space="preserve">Sarah Messenger </w:t>
            </w:r>
          </w:p>
        </w:tc>
      </w:tr>
      <w:tr w:rsidR="007D3AAC" w:rsidRPr="007D3AAC" w14:paraId="4AE53B34" w14:textId="77777777" w:rsidTr="00CC0D78">
        <w:tc>
          <w:tcPr>
            <w:tcW w:w="2802" w:type="dxa"/>
          </w:tcPr>
          <w:p w14:paraId="4AE53B32" w14:textId="77777777" w:rsidR="007D3AAC" w:rsidRPr="007D3AAC" w:rsidRDefault="007D3AAC" w:rsidP="003D2D49">
            <w:pPr>
              <w:spacing w:line="280" w:lineRule="exact"/>
              <w:ind w:left="567"/>
              <w:jc w:val="both"/>
              <w:rPr>
                <w:rFonts w:ascii="Arial" w:hAnsi="Arial" w:cs="Arial"/>
                <w:sz w:val="22"/>
                <w:szCs w:val="22"/>
              </w:rPr>
            </w:pPr>
            <w:r w:rsidRPr="007D3AAC">
              <w:rPr>
                <w:rFonts w:ascii="Arial" w:hAnsi="Arial" w:cs="Arial"/>
                <w:sz w:val="22"/>
                <w:szCs w:val="22"/>
              </w:rPr>
              <w:t>Position:</w:t>
            </w:r>
          </w:p>
        </w:tc>
        <w:tc>
          <w:tcPr>
            <w:tcW w:w="6378" w:type="dxa"/>
          </w:tcPr>
          <w:p w14:paraId="4AE53B33" w14:textId="77777777" w:rsidR="007D3AAC" w:rsidRPr="007D3AAC" w:rsidRDefault="007D3AAC" w:rsidP="003D2D49">
            <w:pPr>
              <w:spacing w:line="280" w:lineRule="exact"/>
              <w:ind w:left="567"/>
              <w:jc w:val="both"/>
              <w:rPr>
                <w:rFonts w:ascii="Arial" w:hAnsi="Arial" w:cs="Arial"/>
                <w:sz w:val="22"/>
                <w:szCs w:val="22"/>
              </w:rPr>
            </w:pPr>
            <w:r w:rsidRPr="007D3AAC">
              <w:rPr>
                <w:rFonts w:ascii="Arial" w:hAnsi="Arial" w:cs="Arial"/>
                <w:sz w:val="22"/>
                <w:szCs w:val="22"/>
              </w:rPr>
              <w:t>Head of Workforce</w:t>
            </w:r>
          </w:p>
        </w:tc>
      </w:tr>
      <w:tr w:rsidR="007D3AAC" w:rsidRPr="007D3AAC" w14:paraId="4AE53B37" w14:textId="77777777" w:rsidTr="00CC0D78">
        <w:tc>
          <w:tcPr>
            <w:tcW w:w="2802" w:type="dxa"/>
          </w:tcPr>
          <w:p w14:paraId="4AE53B35" w14:textId="77777777" w:rsidR="007D3AAC" w:rsidRPr="007D3AAC" w:rsidRDefault="007D3AAC" w:rsidP="003D2D49">
            <w:pPr>
              <w:spacing w:line="280" w:lineRule="exact"/>
              <w:ind w:left="567"/>
              <w:jc w:val="both"/>
              <w:rPr>
                <w:rFonts w:ascii="Arial" w:hAnsi="Arial" w:cs="Arial"/>
                <w:sz w:val="22"/>
                <w:szCs w:val="22"/>
              </w:rPr>
            </w:pPr>
            <w:r w:rsidRPr="007D3AAC">
              <w:rPr>
                <w:rFonts w:ascii="Arial" w:hAnsi="Arial" w:cs="Arial"/>
                <w:sz w:val="22"/>
                <w:szCs w:val="22"/>
              </w:rPr>
              <w:t>Phone number:</w:t>
            </w:r>
          </w:p>
        </w:tc>
        <w:tc>
          <w:tcPr>
            <w:tcW w:w="6378" w:type="dxa"/>
          </w:tcPr>
          <w:p w14:paraId="4AE53B36" w14:textId="77777777" w:rsidR="007D3AAC" w:rsidRPr="007D3AAC" w:rsidRDefault="007D3AAC" w:rsidP="003D2D49">
            <w:pPr>
              <w:spacing w:line="280" w:lineRule="exact"/>
              <w:ind w:left="567"/>
              <w:jc w:val="both"/>
              <w:rPr>
                <w:rFonts w:ascii="Arial" w:hAnsi="Arial" w:cs="Arial"/>
                <w:sz w:val="22"/>
                <w:szCs w:val="22"/>
              </w:rPr>
            </w:pPr>
            <w:r w:rsidRPr="007D3AAC">
              <w:rPr>
                <w:rFonts w:ascii="Arial" w:hAnsi="Arial" w:cs="Arial"/>
                <w:sz w:val="22"/>
                <w:szCs w:val="22"/>
              </w:rPr>
              <w:t>020 7187 7342</w:t>
            </w:r>
          </w:p>
        </w:tc>
      </w:tr>
      <w:tr w:rsidR="007D3AAC" w:rsidRPr="007D3AAC" w14:paraId="4AE53B3A" w14:textId="77777777" w:rsidTr="00CC0D78">
        <w:tc>
          <w:tcPr>
            <w:tcW w:w="2802" w:type="dxa"/>
          </w:tcPr>
          <w:p w14:paraId="4AE53B38" w14:textId="77777777" w:rsidR="007D3AAC" w:rsidRPr="007D3AAC" w:rsidRDefault="007D3AAC" w:rsidP="003D2D49">
            <w:pPr>
              <w:spacing w:line="280" w:lineRule="exact"/>
              <w:ind w:left="567"/>
              <w:jc w:val="both"/>
              <w:rPr>
                <w:rFonts w:ascii="Arial" w:hAnsi="Arial" w:cs="Arial"/>
                <w:sz w:val="22"/>
                <w:szCs w:val="22"/>
              </w:rPr>
            </w:pPr>
            <w:r w:rsidRPr="007D3AAC">
              <w:rPr>
                <w:rFonts w:ascii="Arial" w:hAnsi="Arial" w:cs="Arial"/>
                <w:sz w:val="22"/>
                <w:szCs w:val="22"/>
              </w:rPr>
              <w:t>E-mail:</w:t>
            </w:r>
          </w:p>
        </w:tc>
        <w:tc>
          <w:tcPr>
            <w:tcW w:w="6378" w:type="dxa"/>
          </w:tcPr>
          <w:p w14:paraId="4AE53B39" w14:textId="77777777" w:rsidR="007D3AAC" w:rsidRPr="007D3AAC" w:rsidRDefault="007C3CD8" w:rsidP="003D2D49">
            <w:pPr>
              <w:spacing w:line="280" w:lineRule="exact"/>
              <w:ind w:left="567"/>
              <w:jc w:val="both"/>
              <w:rPr>
                <w:rFonts w:ascii="Arial" w:hAnsi="Arial" w:cs="Arial"/>
                <w:sz w:val="22"/>
                <w:szCs w:val="22"/>
              </w:rPr>
            </w:pPr>
            <w:hyperlink r:id="rId8" w:history="1">
              <w:r w:rsidR="007D3AAC" w:rsidRPr="007D3AAC">
                <w:rPr>
                  <w:rFonts w:ascii="Arial" w:hAnsi="Arial" w:cs="Arial"/>
                  <w:sz w:val="22"/>
                  <w:szCs w:val="22"/>
                </w:rPr>
                <w:t>sarah.messenger@local.gov.uk</w:t>
              </w:r>
            </w:hyperlink>
          </w:p>
        </w:tc>
      </w:tr>
    </w:tbl>
    <w:p w14:paraId="4AE53B3B" w14:textId="77777777" w:rsidR="00744413" w:rsidRDefault="00744413" w:rsidP="003D2D49">
      <w:pPr>
        <w:ind w:left="567"/>
      </w:pPr>
    </w:p>
    <w:sectPr w:rsidR="00744413" w:rsidSect="00A37076">
      <w:headerReference w:type="default" r:id="rId9"/>
      <w:footerReference w:type="default" r:id="rId10"/>
      <w:headerReference w:type="first" r:id="rId11"/>
      <w:pgSz w:w="11907" w:h="16840" w:code="9"/>
      <w:pgMar w:top="2268" w:right="1418" w:bottom="1135" w:left="1418"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53B3E" w14:textId="77777777" w:rsidR="007D3AAC" w:rsidRDefault="007D3AAC" w:rsidP="007D3AAC">
      <w:r>
        <w:separator/>
      </w:r>
    </w:p>
  </w:endnote>
  <w:endnote w:type="continuationSeparator" w:id="0">
    <w:p w14:paraId="4AE53B3F" w14:textId="77777777" w:rsidR="007D3AAC" w:rsidRDefault="007D3AAC" w:rsidP="007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3B4A" w14:textId="77777777" w:rsidR="005C0550" w:rsidRPr="00A37076" w:rsidRDefault="007C3CD8" w:rsidP="00A37076">
    <w:pPr>
      <w:pStyle w:val="Footer"/>
    </w:pP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53B3C" w14:textId="77777777" w:rsidR="007D3AAC" w:rsidRDefault="007D3AAC" w:rsidP="007D3AAC">
      <w:r>
        <w:separator/>
      </w:r>
    </w:p>
  </w:footnote>
  <w:footnote w:type="continuationSeparator" w:id="0">
    <w:p w14:paraId="4AE53B3D" w14:textId="77777777" w:rsidR="007D3AAC" w:rsidRDefault="007D3AAC" w:rsidP="007D3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509"/>
    </w:tblGrid>
    <w:tr w:rsidR="005C0550" w14:paraId="4AE53B42" w14:textId="77777777" w:rsidTr="00A37076">
      <w:tc>
        <w:tcPr>
          <w:tcW w:w="5778" w:type="dxa"/>
          <w:vMerge w:val="restart"/>
        </w:tcPr>
        <w:p w14:paraId="4AE53B40" w14:textId="77777777" w:rsidR="005C0550" w:rsidRDefault="007D3AAC">
          <w:pPr>
            <w:pStyle w:val="Header"/>
          </w:pPr>
          <w:r>
            <w:rPr>
              <w:rFonts w:ascii="Arial" w:hAnsi="Arial" w:cs="Arial"/>
              <w:b/>
              <w:noProof/>
            </w:rPr>
            <w:drawing>
              <wp:inline distT="0" distB="0" distL="0" distR="0" wp14:anchorId="4AE53B58" wp14:editId="4AE53B59">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509" w:type="dxa"/>
          <w:vAlign w:val="center"/>
        </w:tcPr>
        <w:p w14:paraId="4AE53B41" w14:textId="77777777" w:rsidR="005C0550" w:rsidRPr="003D2D49" w:rsidRDefault="00B039D9" w:rsidP="00A37076">
          <w:pPr>
            <w:pStyle w:val="Header"/>
            <w:rPr>
              <w:b/>
              <w:sz w:val="22"/>
              <w:szCs w:val="22"/>
            </w:rPr>
          </w:pPr>
          <w:r w:rsidRPr="003D2D49">
            <w:rPr>
              <w:rFonts w:ascii="Arial" w:hAnsi="Arial" w:cs="Arial"/>
              <w:b/>
              <w:sz w:val="22"/>
              <w:szCs w:val="22"/>
            </w:rPr>
            <w:t>Councillors’ Forum</w:t>
          </w:r>
        </w:p>
      </w:tc>
    </w:tr>
    <w:tr w:rsidR="005C0550" w14:paraId="4AE53B45" w14:textId="77777777" w:rsidTr="00A37076">
      <w:trPr>
        <w:trHeight w:val="450"/>
      </w:trPr>
      <w:tc>
        <w:tcPr>
          <w:tcW w:w="5778" w:type="dxa"/>
          <w:vMerge/>
        </w:tcPr>
        <w:p w14:paraId="4AE53B43" w14:textId="77777777" w:rsidR="005C0550" w:rsidRDefault="007C3CD8">
          <w:pPr>
            <w:pStyle w:val="Header"/>
          </w:pPr>
        </w:p>
      </w:tc>
      <w:tc>
        <w:tcPr>
          <w:tcW w:w="3509" w:type="dxa"/>
          <w:vAlign w:val="center"/>
        </w:tcPr>
        <w:p w14:paraId="4AE53B44" w14:textId="72219C35" w:rsidR="005C0550" w:rsidRPr="003D2D49" w:rsidRDefault="007C3CD8" w:rsidP="00BA59A8">
          <w:pPr>
            <w:pStyle w:val="Header"/>
            <w:spacing w:before="60"/>
            <w:rPr>
              <w:rFonts w:ascii="Arial" w:hAnsi="Arial" w:cs="Arial"/>
              <w:sz w:val="22"/>
              <w:szCs w:val="22"/>
            </w:rPr>
          </w:pPr>
          <w:r>
            <w:rPr>
              <w:rFonts w:ascii="Arial" w:hAnsi="Arial" w:cs="Arial"/>
              <w:sz w:val="22"/>
              <w:szCs w:val="22"/>
            </w:rPr>
            <w:t xml:space="preserve">17 </w:t>
          </w:r>
          <w:r w:rsidR="007D3AAC" w:rsidRPr="003D2D49">
            <w:rPr>
              <w:rFonts w:ascii="Arial" w:hAnsi="Arial" w:cs="Arial"/>
              <w:sz w:val="22"/>
              <w:szCs w:val="22"/>
            </w:rPr>
            <w:t>July</w:t>
          </w:r>
          <w:r w:rsidR="00B039D9" w:rsidRPr="003D2D49">
            <w:rPr>
              <w:rFonts w:ascii="Arial" w:hAnsi="Arial" w:cs="Arial"/>
              <w:sz w:val="22"/>
              <w:szCs w:val="22"/>
            </w:rPr>
            <w:t xml:space="preserve"> 2014</w:t>
          </w:r>
        </w:p>
      </w:tc>
    </w:tr>
    <w:tr w:rsidR="005C0550" w14:paraId="4AE53B48" w14:textId="77777777" w:rsidTr="00A37076">
      <w:trPr>
        <w:trHeight w:val="575"/>
      </w:trPr>
      <w:tc>
        <w:tcPr>
          <w:tcW w:w="5778" w:type="dxa"/>
          <w:vMerge/>
        </w:tcPr>
        <w:p w14:paraId="4AE53B46" w14:textId="77777777" w:rsidR="005C0550" w:rsidRDefault="007C3CD8">
          <w:pPr>
            <w:pStyle w:val="Header"/>
          </w:pPr>
        </w:p>
      </w:tc>
      <w:tc>
        <w:tcPr>
          <w:tcW w:w="3509" w:type="dxa"/>
          <w:vAlign w:val="center"/>
        </w:tcPr>
        <w:p w14:paraId="4AE53B47" w14:textId="6B3627A9" w:rsidR="005C0550" w:rsidRPr="00A37076" w:rsidRDefault="007C3CD8" w:rsidP="00A37076">
          <w:pPr>
            <w:pStyle w:val="Header"/>
            <w:spacing w:before="60"/>
            <w:rPr>
              <w:rFonts w:ascii="Arial" w:hAnsi="Arial" w:cs="Arial"/>
              <w:b/>
              <w:szCs w:val="22"/>
            </w:rPr>
          </w:pPr>
        </w:p>
      </w:tc>
    </w:tr>
  </w:tbl>
  <w:p w14:paraId="4AE53B49" w14:textId="77777777" w:rsidR="005C0550" w:rsidRPr="00A37076" w:rsidRDefault="007C3CD8">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3B4B" w14:textId="77777777" w:rsidR="005C0550" w:rsidRDefault="007C3CD8" w:rsidP="00E64FBC">
    <w:pPr>
      <w:pStyle w:val="Header"/>
      <w:rPr>
        <w:sz w:val="2"/>
      </w:rPr>
    </w:pPr>
  </w:p>
  <w:p w14:paraId="4AE53B4C" w14:textId="77777777" w:rsidR="005C0550" w:rsidRDefault="007C3CD8" w:rsidP="00E64FBC">
    <w:pPr>
      <w:pStyle w:val="Header"/>
      <w:rPr>
        <w:sz w:val="2"/>
      </w:rPr>
    </w:pPr>
  </w:p>
  <w:tbl>
    <w:tblPr>
      <w:tblW w:w="0" w:type="auto"/>
      <w:tblLook w:val="01E0" w:firstRow="1" w:lastRow="1" w:firstColumn="1" w:lastColumn="1" w:noHBand="0" w:noVBand="0"/>
    </w:tblPr>
    <w:tblGrid>
      <w:gridCol w:w="6062"/>
      <w:gridCol w:w="3225"/>
    </w:tblGrid>
    <w:tr w:rsidR="005C0550" w:rsidRPr="0079133C" w14:paraId="4AE53B4F" w14:textId="77777777" w:rsidTr="0079133C">
      <w:tc>
        <w:tcPr>
          <w:tcW w:w="6062" w:type="dxa"/>
          <w:vMerge w:val="restart"/>
        </w:tcPr>
        <w:p w14:paraId="4AE53B4D" w14:textId="77777777" w:rsidR="005C0550" w:rsidRDefault="007D3AAC" w:rsidP="0079133C">
          <w:pPr>
            <w:pStyle w:val="Header"/>
            <w:tabs>
              <w:tab w:val="center" w:pos="2923"/>
            </w:tabs>
          </w:pPr>
          <w:r>
            <w:rPr>
              <w:rFonts w:ascii="Arial" w:hAnsi="Arial" w:cs="Arial"/>
              <w:noProof/>
              <w:sz w:val="44"/>
              <w:szCs w:val="44"/>
            </w:rPr>
            <w:drawing>
              <wp:inline distT="0" distB="0" distL="0" distR="0" wp14:anchorId="4AE53B5A" wp14:editId="4AE53B5B">
                <wp:extent cx="14287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00B039D9" w:rsidRPr="0079133C">
            <w:rPr>
              <w:rFonts w:ascii="Arial" w:hAnsi="Arial" w:cs="Arial"/>
              <w:sz w:val="44"/>
              <w:szCs w:val="44"/>
            </w:rPr>
            <w:tab/>
          </w:r>
        </w:p>
      </w:tc>
      <w:tc>
        <w:tcPr>
          <w:tcW w:w="3225" w:type="dxa"/>
        </w:tcPr>
        <w:p w14:paraId="4AE53B4E" w14:textId="77777777" w:rsidR="005C0550" w:rsidRPr="0079133C" w:rsidRDefault="00B039D9" w:rsidP="00546D0D">
          <w:pPr>
            <w:pStyle w:val="Header"/>
            <w:rPr>
              <w:b/>
            </w:rPr>
          </w:pPr>
          <w:r>
            <w:rPr>
              <w:rFonts w:ascii="Arial" w:hAnsi="Arial" w:cs="Arial"/>
              <w:b/>
            </w:rPr>
            <w:t>LG Group Executive</w:t>
          </w:r>
        </w:p>
      </w:tc>
    </w:tr>
    <w:tr w:rsidR="005C0550" w14:paraId="4AE53B52" w14:textId="77777777" w:rsidTr="0079133C">
      <w:trPr>
        <w:trHeight w:val="450"/>
      </w:trPr>
      <w:tc>
        <w:tcPr>
          <w:tcW w:w="6062" w:type="dxa"/>
          <w:vMerge/>
        </w:tcPr>
        <w:p w14:paraId="4AE53B50" w14:textId="77777777" w:rsidR="005C0550" w:rsidRDefault="007C3CD8" w:rsidP="00546D0D">
          <w:pPr>
            <w:pStyle w:val="Header"/>
          </w:pPr>
        </w:p>
      </w:tc>
      <w:tc>
        <w:tcPr>
          <w:tcW w:w="3225" w:type="dxa"/>
        </w:tcPr>
        <w:p w14:paraId="4AE53B51" w14:textId="77777777" w:rsidR="005C0550" w:rsidRDefault="00B039D9" w:rsidP="0079133C">
          <w:pPr>
            <w:pStyle w:val="Header"/>
            <w:spacing w:before="60"/>
          </w:pPr>
          <w:r>
            <w:rPr>
              <w:rFonts w:ascii="Arial" w:hAnsi="Arial" w:cs="Arial"/>
            </w:rPr>
            <w:t>16 September 2010</w:t>
          </w:r>
          <w:r w:rsidRPr="0079133C">
            <w:rPr>
              <w:rFonts w:ascii="Arial" w:hAnsi="Arial" w:cs="Arial"/>
            </w:rPr>
            <w:t xml:space="preserve"> </w:t>
          </w:r>
        </w:p>
      </w:tc>
    </w:tr>
    <w:tr w:rsidR="005C0550" w14:paraId="4AE53B56" w14:textId="77777777" w:rsidTr="0079133C">
      <w:trPr>
        <w:trHeight w:val="450"/>
      </w:trPr>
      <w:tc>
        <w:tcPr>
          <w:tcW w:w="6062" w:type="dxa"/>
          <w:vMerge/>
        </w:tcPr>
        <w:p w14:paraId="4AE53B53" w14:textId="77777777" w:rsidR="005C0550" w:rsidRDefault="007C3CD8" w:rsidP="00546D0D">
          <w:pPr>
            <w:pStyle w:val="Header"/>
          </w:pPr>
        </w:p>
      </w:tc>
      <w:tc>
        <w:tcPr>
          <w:tcW w:w="3225" w:type="dxa"/>
        </w:tcPr>
        <w:p w14:paraId="4AE53B54" w14:textId="77777777" w:rsidR="005C0550" w:rsidRPr="0079133C" w:rsidRDefault="007C3CD8" w:rsidP="0079133C">
          <w:pPr>
            <w:pStyle w:val="Header"/>
            <w:spacing w:before="60"/>
            <w:rPr>
              <w:rFonts w:ascii="Arial" w:hAnsi="Arial" w:cs="Arial"/>
              <w:b/>
            </w:rPr>
          </w:pPr>
        </w:p>
        <w:p w14:paraId="4AE53B55" w14:textId="77777777" w:rsidR="005C0550" w:rsidRPr="0079133C" w:rsidRDefault="00B039D9" w:rsidP="0079133C">
          <w:pPr>
            <w:pStyle w:val="Header"/>
            <w:spacing w:before="60"/>
            <w:rPr>
              <w:rFonts w:ascii="Arial" w:hAnsi="Arial" w:cs="Arial"/>
              <w:b/>
            </w:rPr>
          </w:pPr>
          <w:r>
            <w:rPr>
              <w:rFonts w:ascii="Arial" w:hAnsi="Arial" w:cs="Arial"/>
              <w:b/>
            </w:rPr>
            <w:t xml:space="preserve">Item </w:t>
          </w:r>
        </w:p>
      </w:tc>
    </w:tr>
  </w:tbl>
  <w:p w14:paraId="4AE53B57" w14:textId="77777777" w:rsidR="005C0550" w:rsidRDefault="007C3CD8" w:rsidP="00E64F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121C"/>
    <w:multiLevelType w:val="hybridMultilevel"/>
    <w:tmpl w:val="94FAE650"/>
    <w:lvl w:ilvl="0" w:tplc="40C886A4">
      <w:start w:val="1"/>
      <w:numFmt w:val="decimal"/>
      <w:lvlText w:val="%1."/>
      <w:lvlJc w:val="left"/>
      <w:pPr>
        <w:ind w:left="927" w:hanging="360"/>
      </w:pPr>
      <w:rPr>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36493EE1"/>
    <w:multiLevelType w:val="hybridMultilevel"/>
    <w:tmpl w:val="0C7A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673172"/>
    <w:multiLevelType w:val="hybridMultilevel"/>
    <w:tmpl w:val="35764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635F5A"/>
    <w:multiLevelType w:val="hybridMultilevel"/>
    <w:tmpl w:val="6A0E0DCA"/>
    <w:lvl w:ilvl="0" w:tplc="5EB024F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C6215B"/>
    <w:multiLevelType w:val="hybridMultilevel"/>
    <w:tmpl w:val="CDDC2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AC"/>
    <w:rsid w:val="001068F6"/>
    <w:rsid w:val="00372CF5"/>
    <w:rsid w:val="003D2D49"/>
    <w:rsid w:val="006440A4"/>
    <w:rsid w:val="00744413"/>
    <w:rsid w:val="007C3CD8"/>
    <w:rsid w:val="007D3AAC"/>
    <w:rsid w:val="00B039D9"/>
    <w:rsid w:val="00BA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5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AAC"/>
    <w:pPr>
      <w:tabs>
        <w:tab w:val="center" w:pos="4513"/>
        <w:tab w:val="right" w:pos="9026"/>
      </w:tabs>
    </w:pPr>
  </w:style>
  <w:style w:type="character" w:customStyle="1" w:styleId="HeaderChar">
    <w:name w:val="Header Char"/>
    <w:basedOn w:val="DefaultParagraphFont"/>
    <w:link w:val="Header"/>
    <w:rsid w:val="007D3AAC"/>
    <w:rPr>
      <w:sz w:val="24"/>
      <w:szCs w:val="24"/>
    </w:rPr>
  </w:style>
  <w:style w:type="paragraph" w:styleId="Footer">
    <w:name w:val="footer"/>
    <w:basedOn w:val="Normal"/>
    <w:link w:val="FooterChar"/>
    <w:rsid w:val="007D3AAC"/>
    <w:pPr>
      <w:tabs>
        <w:tab w:val="center" w:pos="4513"/>
        <w:tab w:val="right" w:pos="9026"/>
      </w:tabs>
    </w:pPr>
  </w:style>
  <w:style w:type="character" w:customStyle="1" w:styleId="FooterChar">
    <w:name w:val="Footer Char"/>
    <w:basedOn w:val="DefaultParagraphFont"/>
    <w:link w:val="Footer"/>
    <w:rsid w:val="007D3AAC"/>
    <w:rPr>
      <w:sz w:val="24"/>
      <w:szCs w:val="24"/>
    </w:rPr>
  </w:style>
  <w:style w:type="paragraph" w:styleId="BalloonText">
    <w:name w:val="Balloon Text"/>
    <w:basedOn w:val="Normal"/>
    <w:link w:val="BalloonTextChar"/>
    <w:rsid w:val="007D3AAC"/>
    <w:rPr>
      <w:rFonts w:ascii="Tahoma" w:hAnsi="Tahoma" w:cs="Tahoma"/>
      <w:sz w:val="16"/>
      <w:szCs w:val="16"/>
    </w:rPr>
  </w:style>
  <w:style w:type="character" w:customStyle="1" w:styleId="BalloonTextChar">
    <w:name w:val="Balloon Text Char"/>
    <w:basedOn w:val="DefaultParagraphFont"/>
    <w:link w:val="BalloonText"/>
    <w:rsid w:val="007D3AAC"/>
    <w:rPr>
      <w:rFonts w:ascii="Tahoma" w:hAnsi="Tahoma" w:cs="Tahoma"/>
      <w:sz w:val="16"/>
      <w:szCs w:val="16"/>
    </w:rPr>
  </w:style>
  <w:style w:type="paragraph" w:styleId="ListParagraph">
    <w:name w:val="List Paragraph"/>
    <w:basedOn w:val="Normal"/>
    <w:uiPriority w:val="34"/>
    <w:qFormat/>
    <w:rsid w:val="00B039D9"/>
    <w:pPr>
      <w:ind w:left="720"/>
      <w:contextualSpacing/>
    </w:pPr>
  </w:style>
  <w:style w:type="paragraph" w:styleId="NormalWeb">
    <w:name w:val="Normal (Web)"/>
    <w:basedOn w:val="Normal"/>
    <w:uiPriority w:val="99"/>
    <w:rsid w:val="00372CF5"/>
    <w:pPr>
      <w:spacing w:before="100" w:beforeAutospacing="1" w:after="150" w:line="336" w:lineRule="auto"/>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AAC"/>
    <w:pPr>
      <w:tabs>
        <w:tab w:val="center" w:pos="4513"/>
        <w:tab w:val="right" w:pos="9026"/>
      </w:tabs>
    </w:pPr>
  </w:style>
  <w:style w:type="character" w:customStyle="1" w:styleId="HeaderChar">
    <w:name w:val="Header Char"/>
    <w:basedOn w:val="DefaultParagraphFont"/>
    <w:link w:val="Header"/>
    <w:rsid w:val="007D3AAC"/>
    <w:rPr>
      <w:sz w:val="24"/>
      <w:szCs w:val="24"/>
    </w:rPr>
  </w:style>
  <w:style w:type="paragraph" w:styleId="Footer">
    <w:name w:val="footer"/>
    <w:basedOn w:val="Normal"/>
    <w:link w:val="FooterChar"/>
    <w:rsid w:val="007D3AAC"/>
    <w:pPr>
      <w:tabs>
        <w:tab w:val="center" w:pos="4513"/>
        <w:tab w:val="right" w:pos="9026"/>
      </w:tabs>
    </w:pPr>
  </w:style>
  <w:style w:type="character" w:customStyle="1" w:styleId="FooterChar">
    <w:name w:val="Footer Char"/>
    <w:basedOn w:val="DefaultParagraphFont"/>
    <w:link w:val="Footer"/>
    <w:rsid w:val="007D3AAC"/>
    <w:rPr>
      <w:sz w:val="24"/>
      <w:szCs w:val="24"/>
    </w:rPr>
  </w:style>
  <w:style w:type="paragraph" w:styleId="BalloonText">
    <w:name w:val="Balloon Text"/>
    <w:basedOn w:val="Normal"/>
    <w:link w:val="BalloonTextChar"/>
    <w:rsid w:val="007D3AAC"/>
    <w:rPr>
      <w:rFonts w:ascii="Tahoma" w:hAnsi="Tahoma" w:cs="Tahoma"/>
      <w:sz w:val="16"/>
      <w:szCs w:val="16"/>
    </w:rPr>
  </w:style>
  <w:style w:type="character" w:customStyle="1" w:styleId="BalloonTextChar">
    <w:name w:val="Balloon Text Char"/>
    <w:basedOn w:val="DefaultParagraphFont"/>
    <w:link w:val="BalloonText"/>
    <w:rsid w:val="007D3AAC"/>
    <w:rPr>
      <w:rFonts w:ascii="Tahoma" w:hAnsi="Tahoma" w:cs="Tahoma"/>
      <w:sz w:val="16"/>
      <w:szCs w:val="16"/>
    </w:rPr>
  </w:style>
  <w:style w:type="paragraph" w:styleId="ListParagraph">
    <w:name w:val="List Paragraph"/>
    <w:basedOn w:val="Normal"/>
    <w:uiPriority w:val="34"/>
    <w:qFormat/>
    <w:rsid w:val="00B039D9"/>
    <w:pPr>
      <w:ind w:left="720"/>
      <w:contextualSpacing/>
    </w:pPr>
  </w:style>
  <w:style w:type="paragraph" w:styleId="NormalWeb">
    <w:name w:val="Normal (Web)"/>
    <w:basedOn w:val="Normal"/>
    <w:uiPriority w:val="99"/>
    <w:rsid w:val="00372CF5"/>
    <w:pPr>
      <w:spacing w:before="100" w:beforeAutospacing="1" w:after="150" w:line="336" w:lineRule="auto"/>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4553">
      <w:bodyDiv w:val="1"/>
      <w:marLeft w:val="0"/>
      <w:marRight w:val="0"/>
      <w:marTop w:val="0"/>
      <w:marBottom w:val="0"/>
      <w:divBdr>
        <w:top w:val="none" w:sz="0" w:space="0" w:color="auto"/>
        <w:left w:val="none" w:sz="0" w:space="0" w:color="auto"/>
        <w:bottom w:val="none" w:sz="0" w:space="0" w:color="auto"/>
        <w:right w:val="none" w:sz="0" w:space="0" w:color="auto"/>
      </w:divBdr>
    </w:div>
    <w:div w:id="385643049">
      <w:bodyDiv w:val="1"/>
      <w:marLeft w:val="0"/>
      <w:marRight w:val="0"/>
      <w:marTop w:val="0"/>
      <w:marBottom w:val="0"/>
      <w:divBdr>
        <w:top w:val="none" w:sz="0" w:space="0" w:color="auto"/>
        <w:left w:val="none" w:sz="0" w:space="0" w:color="auto"/>
        <w:bottom w:val="none" w:sz="0" w:space="0" w:color="auto"/>
        <w:right w:val="none" w:sz="0" w:space="0" w:color="auto"/>
      </w:divBdr>
    </w:div>
    <w:div w:id="8466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messenger@local.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Ali</dc:creator>
  <cp:lastModifiedBy>Joseph Cormack</cp:lastModifiedBy>
  <cp:revision>8</cp:revision>
  <cp:lastPrinted>2014-06-24T11:10:00Z</cp:lastPrinted>
  <dcterms:created xsi:type="dcterms:W3CDTF">2014-06-20T12:57:00Z</dcterms:created>
  <dcterms:modified xsi:type="dcterms:W3CDTF">2014-07-11T09:48:00Z</dcterms:modified>
</cp:coreProperties>
</file>

<file path=docProps/custom.xml><?xml version="1.0" encoding="utf-8"?>
<op:Properties xmlns:op="http://schemas.openxmlformats.org/officeDocument/2006/custom-properties"/>
</file>